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00000A"/>
          <w:sz w:val="22"/>
          <w:szCs w:val="22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A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00000A"/>
          <w:sz w:val="22"/>
          <w:szCs w:val="22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A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11.</w:t>
        <w:tab/>
        <w:t xml:space="preserve">Czy porusza się Pan(i): </w:t>
      </w:r>
    </w:p>
    <w:tbl>
      <w:tblPr>
        <w:tblW w:w="918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/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782091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cs="Calibri"/>
      <w:color w:val="00000A"/>
    </w:rPr>
  </w:style>
  <w:style w:type="character" w:styleId="ListLabel7">
    <w:name w:val="ListLabel 7"/>
    <w:qFormat/>
    <w:rPr>
      <w:rFonts w:cs="Calibri"/>
      <w:color w:val="00000A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79160d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LibreOffice/5.2.3.3$Windows_x86 LibreOffice_project/d54a8868f08a7b39642414cf2c8ef2f228f780cf</Application>
  <Pages>7</Pages>
  <Words>1636</Words>
  <Characters>11160</Characters>
  <CharactersWithSpaces>12720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